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1BE4" w14:textId="5F2A732C" w:rsidR="007D59EF" w:rsidRPr="007D59EF" w:rsidRDefault="007D59EF" w:rsidP="007D59EF">
      <w:pPr>
        <w:shd w:val="clear" w:color="auto" w:fill="000000"/>
        <w:spacing w:after="0" w:line="240" w:lineRule="auto"/>
        <w:ind w:left="360"/>
        <w:jc w:val="center"/>
        <w:rPr>
          <w:rFonts w:ascii="Open Sans" w:eastAsia="Times New Roman" w:hAnsi="Open Sans" w:cs="Open Sans"/>
          <w:color w:val="FFFFFF"/>
          <w:sz w:val="52"/>
          <w:szCs w:val="52"/>
          <w:u w:val="single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52"/>
          <w:szCs w:val="52"/>
          <w:u w:val="single"/>
          <w:lang w:eastAsia="fr-FR"/>
        </w:rPr>
        <w:t>Transpalette</w:t>
      </w:r>
    </w:p>
    <w:p w14:paraId="625D18CB" w14:textId="77777777" w:rsid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</w:p>
    <w:p w14:paraId="43D7F5F1" w14:textId="77777777" w:rsid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</w:p>
    <w:p w14:paraId="3DE37E50" w14:textId="77777777" w:rsid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</w:p>
    <w:p w14:paraId="31AB4F6F" w14:textId="77777777" w:rsid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</w:p>
    <w:p w14:paraId="3E64372C" w14:textId="77777777" w:rsid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</w:p>
    <w:p w14:paraId="56526C11" w14:textId="77777777" w:rsid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</w:p>
    <w:p w14:paraId="59331947" w14:textId="25A56CFA" w:rsidR="007D59EF" w:rsidRPr="007D59EF" w:rsidRDefault="007D59EF" w:rsidP="007D59EF">
      <w:pPr>
        <w:shd w:val="clear" w:color="auto" w:fill="000000"/>
        <w:spacing w:after="0" w:line="240" w:lineRule="auto"/>
        <w:ind w:left="360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Cap. max. 2500 kg.</w:t>
      </w:r>
    </w:p>
    <w:p w14:paraId="185D981B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Poids: 70 kg.</w:t>
      </w:r>
    </w:p>
    <w:p w14:paraId="59A0F915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Rouleaux: Ø 80 </w:t>
      </w: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mm.</w:t>
      </w:r>
      <w:proofErr w:type="spellEnd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  / 4 </w:t>
      </w: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unid</w:t>
      </w:r>
      <w:proofErr w:type="spellEnd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.</w:t>
      </w:r>
    </w:p>
    <w:p w14:paraId="0F807A17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Roues: Ø 200 </w:t>
      </w: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mm.</w:t>
      </w:r>
      <w:proofErr w:type="spellEnd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 / 2 </w:t>
      </w: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unid</w:t>
      </w:r>
      <w:proofErr w:type="spellEnd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.</w:t>
      </w:r>
    </w:p>
    <w:p w14:paraId="4ED88791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Valve de </w:t>
      </w: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securité</w:t>
      </w:r>
      <w:proofErr w:type="spellEnd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 pour surcharge</w:t>
      </w:r>
    </w:p>
    <w:p w14:paraId="63D59CE4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Sistème</w:t>
      </w:r>
      <w:proofErr w:type="spellEnd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 xml:space="preserve"> descente </w:t>
      </w:r>
      <w:proofErr w:type="spellStart"/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controlée</w:t>
      </w:r>
      <w:proofErr w:type="spellEnd"/>
    </w:p>
    <w:p w14:paraId="14F0C128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Piston chromé.</w:t>
      </w:r>
    </w:p>
    <w:p w14:paraId="732EC557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Certification: CE / GS / TÜV</w:t>
      </w:r>
    </w:p>
    <w:p w14:paraId="64558214" w14:textId="77777777" w:rsidR="007D59EF" w:rsidRPr="007D59EF" w:rsidRDefault="007D59EF" w:rsidP="007D59EF">
      <w:pPr>
        <w:numPr>
          <w:ilvl w:val="0"/>
          <w:numId w:val="1"/>
        </w:numPr>
        <w:shd w:val="clear" w:color="auto" w:fill="000000"/>
        <w:spacing w:after="0" w:line="240" w:lineRule="auto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7D59EF">
        <w:rPr>
          <w:rFonts w:ascii="Open Sans" w:eastAsia="Times New Roman" w:hAnsi="Open Sans" w:cs="Open Sans"/>
          <w:b/>
          <w:bCs/>
          <w:color w:val="FFFFFF"/>
          <w:sz w:val="24"/>
          <w:szCs w:val="24"/>
          <w:lang w:eastAsia="fr-FR"/>
        </w:rPr>
        <w:t>ROUES EN NYLON</w:t>
      </w: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br/>
      </w:r>
      <w:r w:rsidRPr="007D59EF">
        <w:rPr>
          <w:rFonts w:ascii="Open Sans" w:eastAsia="Times New Roman" w:hAnsi="Open Sans" w:cs="Open Sans"/>
          <w:i/>
          <w:iCs/>
          <w:color w:val="FFFFFF"/>
          <w:sz w:val="24"/>
          <w:szCs w:val="24"/>
          <w:lang w:eastAsia="fr-FR"/>
        </w:rPr>
        <w:t>Idéal pour les sols rugueux, durs et froids, tels que le béton ou le ciment.</w:t>
      </w: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br/>
      </w:r>
      <w:r w:rsidRPr="007D59EF">
        <w:rPr>
          <w:rFonts w:ascii="Open Sans" w:eastAsia="Times New Roman" w:hAnsi="Open Sans" w:cs="Open Sans"/>
          <w:i/>
          <w:iCs/>
          <w:color w:val="FFFFFF"/>
          <w:sz w:val="24"/>
          <w:szCs w:val="24"/>
          <w:lang w:eastAsia="fr-FR"/>
        </w:rPr>
        <w:t>Résistant à l’incrustation des copeaux</w:t>
      </w: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br/>
      </w:r>
      <w:r w:rsidRPr="007D59EF">
        <w:rPr>
          <w:rFonts w:ascii="Open Sans" w:eastAsia="Times New Roman" w:hAnsi="Open Sans" w:cs="Open Sans"/>
          <w:i/>
          <w:iCs/>
          <w:color w:val="FFFFFF"/>
          <w:sz w:val="24"/>
          <w:szCs w:val="24"/>
          <w:lang w:eastAsia="fr-FR"/>
        </w:rPr>
        <w:t>Résistant aux produits chimiques</w:t>
      </w:r>
      <w:r w:rsidRPr="007D59E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br/>
      </w:r>
      <w:r w:rsidRPr="007D59EF">
        <w:rPr>
          <w:rFonts w:ascii="Open Sans" w:eastAsia="Times New Roman" w:hAnsi="Open Sans" w:cs="Open Sans"/>
          <w:i/>
          <w:iCs/>
          <w:color w:val="FFFFFF"/>
          <w:sz w:val="24"/>
          <w:szCs w:val="24"/>
          <w:lang w:eastAsia="fr-FR"/>
        </w:rPr>
        <w:t>Plus solide et résistant que le reste des roues pour les charges lourdes.</w:t>
      </w:r>
    </w:p>
    <w:p w14:paraId="3F6C33A0" w14:textId="77777777" w:rsidR="007D59EF" w:rsidRDefault="007D59EF"/>
    <w:p w14:paraId="48F2569F" w14:textId="77777777" w:rsidR="007D59EF" w:rsidRDefault="007D59EF"/>
    <w:sectPr w:rsidR="007D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663E8"/>
    <w:multiLevelType w:val="multilevel"/>
    <w:tmpl w:val="102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F"/>
    <w:rsid w:val="007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2D2F"/>
  <w15:chartTrackingRefBased/>
  <w15:docId w15:val="{71D08486-FC14-41E1-8AD2-333F338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cano</dc:creator>
  <cp:keywords/>
  <dc:description/>
  <cp:lastModifiedBy>jose cano</cp:lastModifiedBy>
  <cp:revision>1</cp:revision>
  <dcterms:created xsi:type="dcterms:W3CDTF">2021-10-04T09:47:00Z</dcterms:created>
  <dcterms:modified xsi:type="dcterms:W3CDTF">2021-10-04T09:48:00Z</dcterms:modified>
</cp:coreProperties>
</file>